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CFDB3" w14:textId="69DE42B3" w:rsidR="00B90680" w:rsidRDefault="00B90680">
      <w:r>
        <w:rPr>
          <w:noProof/>
        </w:rPr>
        <w:drawing>
          <wp:inline distT="0" distB="0" distL="0" distR="0" wp14:anchorId="0EB1B7CE" wp14:editId="76377A6F">
            <wp:extent cx="2009139" cy="1004570"/>
            <wp:effectExtent l="0" t="0" r="0" b="5080"/>
            <wp:docPr id="1658254846" name="Picture 1" descr="A logo for a health alli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54846" name="Picture 1" descr="A logo for a health allianc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18677" cy="1009339"/>
                    </a:xfrm>
                    <a:prstGeom prst="rect">
                      <a:avLst/>
                    </a:prstGeom>
                  </pic:spPr>
                </pic:pic>
              </a:graphicData>
            </a:graphic>
          </wp:inline>
        </w:drawing>
      </w:r>
    </w:p>
    <w:p w14:paraId="464BC848" w14:textId="75D34141" w:rsidR="008A040E" w:rsidRDefault="00B90680">
      <w:pPr>
        <w:rPr>
          <w:b/>
          <w:bCs/>
          <w:sz w:val="40"/>
          <w:szCs w:val="40"/>
        </w:rPr>
      </w:pPr>
      <w:r>
        <w:rPr>
          <w:b/>
          <w:bCs/>
          <w:sz w:val="40"/>
          <w:szCs w:val="40"/>
        </w:rPr>
        <w:t>Copy Examples</w:t>
      </w:r>
      <w:r w:rsidRPr="00B90680">
        <w:rPr>
          <w:b/>
          <w:bCs/>
          <w:sz w:val="40"/>
          <w:szCs w:val="40"/>
        </w:rPr>
        <w:t xml:space="preserve"> for Promoting the 2025 Northland Community Health Assessment</w:t>
      </w:r>
    </w:p>
    <w:p w14:paraId="4CA27DCD" w14:textId="47D1BFA8" w:rsidR="00B90680" w:rsidRDefault="00B90680">
      <w:r w:rsidRPr="002B53CC">
        <w:rPr>
          <w:highlight w:val="yellow"/>
        </w:rPr>
        <w:t xml:space="preserve">Download high-resolution graphics and flyers at </w:t>
      </w:r>
      <w:hyperlink r:id="rId8" w:history="1">
        <w:r w:rsidRPr="002B53CC">
          <w:rPr>
            <w:rStyle w:val="Hyperlink"/>
            <w:highlight w:val="yellow"/>
          </w:rPr>
          <w:t>https://northlandkchealthalliance.org/promotional-materials/</w:t>
        </w:r>
      </w:hyperlink>
    </w:p>
    <w:p w14:paraId="5CA85544" w14:textId="77777777" w:rsidR="00B90680" w:rsidRDefault="00B90680"/>
    <w:p w14:paraId="53CA986C" w14:textId="1D2ABC45" w:rsidR="00B90680" w:rsidRPr="00B90680" w:rsidRDefault="00B90680">
      <w:pPr>
        <w:rPr>
          <w:b/>
          <w:bCs/>
        </w:rPr>
      </w:pPr>
      <w:r w:rsidRPr="00B90680">
        <w:rPr>
          <w:b/>
          <w:bCs/>
        </w:rPr>
        <w:t>Newsletter 1</w:t>
      </w:r>
      <w:r w:rsidR="00C10237">
        <w:rPr>
          <w:b/>
          <w:bCs/>
        </w:rPr>
        <w:t xml:space="preserve"> (Thanks)</w:t>
      </w:r>
      <w:r w:rsidRPr="00B90680">
        <w:rPr>
          <w:b/>
          <w:bCs/>
        </w:rPr>
        <w:t xml:space="preserve">: </w:t>
      </w:r>
    </w:p>
    <w:p w14:paraId="4670328E" w14:textId="19E7A704" w:rsidR="00B90680" w:rsidRDefault="00B90680" w:rsidP="00B90680">
      <w:r w:rsidRPr="00B90680">
        <w:t xml:space="preserve">Last year, </w:t>
      </w:r>
      <w:r>
        <w:t xml:space="preserve">as a member of the </w:t>
      </w:r>
      <w:hyperlink r:id="rId9" w:history="1">
        <w:r w:rsidRPr="002B53CC">
          <w:rPr>
            <w:rStyle w:val="Hyperlink"/>
          </w:rPr>
          <w:t>Northland Health Alliance (NHA)</w:t>
        </w:r>
      </w:hyperlink>
      <w:r>
        <w:t xml:space="preserve">, we </w:t>
      </w:r>
      <w:r w:rsidRPr="00B90680">
        <w:t xml:space="preserve">asked for your feedback on how easy or difficult it is to be healthy in the Northland. </w:t>
      </w:r>
      <w:r>
        <w:t>Over 100 people attended community forums and 1,876 filled out our survey – thank you!</w:t>
      </w:r>
    </w:p>
    <w:p w14:paraId="3356138F" w14:textId="51622681" w:rsidR="00BF1165" w:rsidRDefault="00B90680" w:rsidP="00B90680">
      <w:r>
        <w:t>By combining your valuable feedback with local health data, NHA create</w:t>
      </w:r>
      <w:r w:rsidR="00BF1165">
        <w:t>d</w:t>
      </w:r>
      <w:r>
        <w:t xml:space="preserve"> an updated Community Health Assessment (CHA)</w:t>
      </w:r>
      <w:r w:rsidR="00BF1165">
        <w:t xml:space="preserve">. </w:t>
      </w:r>
      <w:hyperlink r:id="rId10" w:history="1">
        <w:r w:rsidR="00BF1165" w:rsidRPr="002B53CC">
          <w:rPr>
            <w:rStyle w:val="Hyperlink"/>
          </w:rPr>
          <w:t>The updated CHA can be viewed here.</w:t>
        </w:r>
      </w:hyperlink>
      <w:r w:rsidR="00C10237">
        <w:t xml:space="preserve"> There is a wealth of information on this interactive dashboard, from downloadable graphs</w:t>
      </w:r>
      <w:r w:rsidR="00C94AFF">
        <w:t xml:space="preserve"> to </w:t>
      </w:r>
      <w:r w:rsidR="00F305EA">
        <w:t>interesting insights.</w:t>
      </w:r>
    </w:p>
    <w:p w14:paraId="5CFD8BCC" w14:textId="54EE62D3" w:rsidR="00B90680" w:rsidRDefault="002B53CC" w:rsidP="00B90680">
      <w:r>
        <w:t xml:space="preserve">From 2026-2028, NHA’s task forces will work to improve access to healthy food, healthcare and mental/behavioral health in the area. </w:t>
      </w:r>
    </w:p>
    <w:p w14:paraId="3F6CFCEB" w14:textId="77777777" w:rsidR="00BF1165" w:rsidRDefault="00BF1165" w:rsidP="00B90680">
      <w:pPr>
        <w:rPr>
          <w:b/>
          <w:bCs/>
        </w:rPr>
      </w:pPr>
    </w:p>
    <w:p w14:paraId="58435BDA" w14:textId="2DC8F204" w:rsidR="00BF1165" w:rsidRPr="00BF1165" w:rsidRDefault="00BF1165" w:rsidP="00B90680">
      <w:pPr>
        <w:rPr>
          <w:b/>
          <w:bCs/>
        </w:rPr>
      </w:pPr>
      <w:r w:rsidRPr="00BF1165">
        <w:rPr>
          <w:b/>
          <w:bCs/>
        </w:rPr>
        <w:t>Newsletter 2</w:t>
      </w:r>
      <w:r w:rsidR="00C10237">
        <w:rPr>
          <w:b/>
          <w:bCs/>
        </w:rPr>
        <w:t xml:space="preserve"> (Data Points &amp; Moving Forward)</w:t>
      </w:r>
      <w:r w:rsidRPr="00BF1165">
        <w:rPr>
          <w:b/>
          <w:bCs/>
        </w:rPr>
        <w:t>:</w:t>
      </w:r>
    </w:p>
    <w:p w14:paraId="28F3C89B" w14:textId="14FBF007" w:rsidR="00BF1165" w:rsidRDefault="00BF1165" w:rsidP="00B90680">
      <w:r>
        <w:t xml:space="preserve">Knowledge is power. To better serve our community, the </w:t>
      </w:r>
      <w:hyperlink r:id="rId11" w:history="1">
        <w:r w:rsidRPr="002B53CC">
          <w:rPr>
            <w:rStyle w:val="Hyperlink"/>
          </w:rPr>
          <w:t>Northland Health Alliance</w:t>
        </w:r>
      </w:hyperlink>
      <w:r>
        <w:t xml:space="preserve"> gathered data and feedback from community members</w:t>
      </w:r>
      <w:r w:rsidR="002B53CC">
        <w:t xml:space="preserve"> over the last year</w:t>
      </w:r>
      <w:r>
        <w:t xml:space="preserve">. </w:t>
      </w:r>
      <w:r w:rsidR="002B53CC">
        <w:t>A</w:t>
      </w:r>
      <w:r>
        <w:t xml:space="preserve"> few things we learned:</w:t>
      </w:r>
    </w:p>
    <w:p w14:paraId="4DA14157" w14:textId="4C3E65DB" w:rsidR="00BF1165" w:rsidRPr="00BF1165" w:rsidRDefault="00BF1165" w:rsidP="00BF1165">
      <w:pPr>
        <w:pStyle w:val="ListParagraph"/>
        <w:numPr>
          <w:ilvl w:val="0"/>
          <w:numId w:val="1"/>
        </w:numPr>
      </w:pPr>
      <w:r>
        <w:t xml:space="preserve">2 in 5 Northland residents live in areas without easy access (&lt;1 mile urban, &lt;10 miles rural) to grocery stores selling fresh &amp; </w:t>
      </w:r>
      <w:r w:rsidRPr="00BF1165">
        <w:rPr>
          <w:b/>
          <w:bCs/>
        </w:rPr>
        <w:t>healthy food</w:t>
      </w:r>
      <w:r>
        <w:t>.</w:t>
      </w:r>
    </w:p>
    <w:p w14:paraId="191DCEB6" w14:textId="0DB1E868" w:rsidR="00BF1165" w:rsidRDefault="002B53CC" w:rsidP="00BF1165">
      <w:pPr>
        <w:pStyle w:val="ListParagraph"/>
        <w:numPr>
          <w:ilvl w:val="0"/>
          <w:numId w:val="1"/>
        </w:numPr>
      </w:pPr>
      <w:r>
        <w:t xml:space="preserve">There is </w:t>
      </w:r>
      <w:r w:rsidR="00BF1165" w:rsidRPr="00BF1165">
        <w:t xml:space="preserve">1 </w:t>
      </w:r>
      <w:r w:rsidR="00BF1165" w:rsidRPr="00BF1165">
        <w:rPr>
          <w:b/>
          <w:bCs/>
        </w:rPr>
        <w:t xml:space="preserve">mental health </w:t>
      </w:r>
      <w:r w:rsidR="00BF1165" w:rsidRPr="00BF1165">
        <w:t xml:space="preserve">provider per 632 people in Platte County (1 per 500 is the generally acceptable ratio). Clay </w:t>
      </w:r>
      <w:r w:rsidR="00BF1165">
        <w:t xml:space="preserve">Country </w:t>
      </w:r>
      <w:r w:rsidR="00BF1165" w:rsidRPr="00BF1165">
        <w:t>has 1 per 573 people.</w:t>
      </w:r>
    </w:p>
    <w:p w14:paraId="5F181432" w14:textId="77777777" w:rsidR="00BF1165" w:rsidRPr="00BF1165" w:rsidRDefault="00BF1165" w:rsidP="00BF1165">
      <w:pPr>
        <w:pStyle w:val="ListParagraph"/>
        <w:numPr>
          <w:ilvl w:val="0"/>
          <w:numId w:val="1"/>
        </w:numPr>
      </w:pPr>
      <w:r>
        <w:t xml:space="preserve">30.4% of Northland adults have </w:t>
      </w:r>
      <w:r w:rsidRPr="002B53CC">
        <w:rPr>
          <w:b/>
          <w:bCs/>
        </w:rPr>
        <w:t>high blood pressure</w:t>
      </w:r>
      <w:r>
        <w:t>.</w:t>
      </w:r>
    </w:p>
    <w:p w14:paraId="76BE1989" w14:textId="036C3C8A" w:rsidR="00B90680" w:rsidRDefault="00BF1165" w:rsidP="00BF1165">
      <w:pPr>
        <w:pStyle w:val="ListParagraph"/>
        <w:numPr>
          <w:ilvl w:val="0"/>
          <w:numId w:val="1"/>
        </w:numPr>
      </w:pPr>
      <w:r>
        <w:t xml:space="preserve">1 in 5 Northland adults have not visited the </w:t>
      </w:r>
      <w:r w:rsidRPr="002B53CC">
        <w:rPr>
          <w:b/>
          <w:bCs/>
        </w:rPr>
        <w:t>dentist</w:t>
      </w:r>
      <w:r>
        <w:t xml:space="preserve"> in the past 2 years.</w:t>
      </w:r>
    </w:p>
    <w:p w14:paraId="59CBB753" w14:textId="20E98049" w:rsidR="00B90680" w:rsidRDefault="002B53CC">
      <w:r>
        <w:t>Based on this information, NHA plans to tackle these priority areas in 2026-2028: access to health care, access to healthy food, and mental/behavioral health. Dedicated task forces will unite healthcare providers and organizations in the area to make a difference in the health of the community. We’re excited to get to work!</w:t>
      </w:r>
    </w:p>
    <w:p w14:paraId="627FE794" w14:textId="7FADE007" w:rsidR="002B53CC" w:rsidRDefault="002B53CC">
      <w:r>
        <w:lastRenderedPageBreak/>
        <w:t xml:space="preserve">Check out the NEW Community Health Assessment: </w:t>
      </w:r>
      <w:hyperlink r:id="rId12" w:history="1">
        <w:r w:rsidRPr="00C10237">
          <w:rPr>
            <w:rStyle w:val="Hyperlink"/>
          </w:rPr>
          <w:t>northlandkchealthalliance.org/cha</w:t>
        </w:r>
      </w:hyperlink>
    </w:p>
    <w:p w14:paraId="485E6F9E" w14:textId="52A009B4" w:rsidR="00C10237" w:rsidRPr="00C10237" w:rsidRDefault="00C10237">
      <w:pPr>
        <w:rPr>
          <w:b/>
          <w:bCs/>
        </w:rPr>
      </w:pPr>
      <w:r w:rsidRPr="00C10237">
        <w:rPr>
          <w:b/>
          <w:bCs/>
        </w:rPr>
        <w:t>Newsletter 3 (</w:t>
      </w:r>
      <w:r w:rsidR="001C2661">
        <w:rPr>
          <w:b/>
          <w:bCs/>
        </w:rPr>
        <w:t>Dashboard focused</w:t>
      </w:r>
      <w:r w:rsidRPr="00C10237">
        <w:rPr>
          <w:b/>
          <w:bCs/>
        </w:rPr>
        <w:t>):</w:t>
      </w:r>
    </w:p>
    <w:p w14:paraId="410AE311" w14:textId="6EEE3F35" w:rsidR="00C10237" w:rsidRDefault="00C10237">
      <w:r w:rsidRPr="00C10237">
        <w:t>We’re excited to announce th</w:t>
      </w:r>
      <w:r>
        <w:t xml:space="preserve">e newest version of </w:t>
      </w:r>
      <w:hyperlink r:id="rId13" w:history="1">
        <w:r w:rsidRPr="001C2661">
          <w:rPr>
            <w:rStyle w:val="Hyperlink"/>
          </w:rPr>
          <w:t>Northland Health Alliance</w:t>
        </w:r>
      </w:hyperlink>
      <w:r>
        <w:t xml:space="preserve">’s community health dashboard is now available! </w:t>
      </w:r>
      <w:hyperlink r:id="rId14" w:history="1">
        <w:r w:rsidRPr="001C2661">
          <w:rPr>
            <w:rStyle w:val="Hyperlink"/>
          </w:rPr>
          <w:t>This online resource</w:t>
        </w:r>
      </w:hyperlink>
      <w:r>
        <w:t xml:space="preserve"> can be an incredibly valuable tool for local leaders, difference makers, and anyone wanting to better understand health in</w:t>
      </w:r>
      <w:r w:rsidR="006D1ED2">
        <w:t xml:space="preserve"> Clay and Platte counties</w:t>
      </w:r>
      <w:r>
        <w:t>.</w:t>
      </w:r>
    </w:p>
    <w:p w14:paraId="3990A307" w14:textId="39ED4EC9" w:rsidR="00113EE1" w:rsidRDefault="00113EE1">
      <w:r>
        <w:t xml:space="preserve">You can find </w:t>
      </w:r>
      <w:r w:rsidR="006D1ED2">
        <w:t xml:space="preserve">Northland-focused </w:t>
      </w:r>
      <w:r>
        <w:t>data in these categories:</w:t>
      </w:r>
    </w:p>
    <w:p w14:paraId="72D43265" w14:textId="77777777" w:rsidR="006D1ED2" w:rsidRDefault="006D1ED2" w:rsidP="006D1ED2">
      <w:pPr>
        <w:pStyle w:val="ListParagraph"/>
        <w:numPr>
          <w:ilvl w:val="0"/>
          <w:numId w:val="3"/>
        </w:numPr>
      </w:pPr>
      <w:r>
        <w:t>Chronic disease (asthma, diabetes, sleep, nutrition, cancer, physical activity)</w:t>
      </w:r>
    </w:p>
    <w:p w14:paraId="651A85F3" w14:textId="77777777" w:rsidR="00113EE1" w:rsidRDefault="00113EE1" w:rsidP="00113EE1">
      <w:pPr>
        <w:pStyle w:val="ListParagraph"/>
        <w:numPr>
          <w:ilvl w:val="0"/>
          <w:numId w:val="3"/>
        </w:numPr>
      </w:pPr>
      <w:r>
        <w:t>Maternal and infant health (infant mortality rate, prenatal care, tobacco use)</w:t>
      </w:r>
    </w:p>
    <w:p w14:paraId="06E72B4A" w14:textId="77777777" w:rsidR="00113EE1" w:rsidRDefault="00113EE1" w:rsidP="00113EE1">
      <w:pPr>
        <w:pStyle w:val="ListParagraph"/>
        <w:numPr>
          <w:ilvl w:val="0"/>
          <w:numId w:val="3"/>
        </w:numPr>
      </w:pPr>
      <w:r>
        <w:t>Economics (household incomes, WIC and SNAP participation, unemployment, poverty)</w:t>
      </w:r>
    </w:p>
    <w:p w14:paraId="1CD56A00" w14:textId="77777777" w:rsidR="00113EE1" w:rsidRDefault="00113EE1" w:rsidP="00113EE1">
      <w:pPr>
        <w:pStyle w:val="ListParagraph"/>
        <w:numPr>
          <w:ilvl w:val="0"/>
          <w:numId w:val="3"/>
        </w:numPr>
      </w:pPr>
      <w:r>
        <w:t>Access to health care (frequency of health visits, health care provider ratios, uninsured)</w:t>
      </w:r>
    </w:p>
    <w:p w14:paraId="7CA64B6D" w14:textId="77CE1955" w:rsidR="00C10237" w:rsidRDefault="00113EE1" w:rsidP="00113EE1">
      <w:pPr>
        <w:pStyle w:val="ListParagraph"/>
        <w:numPr>
          <w:ilvl w:val="0"/>
          <w:numId w:val="3"/>
        </w:numPr>
      </w:pPr>
      <w:r>
        <w:t>Built environment (walkability, commutes, air quality, crime, internet access)</w:t>
      </w:r>
    </w:p>
    <w:p w14:paraId="7EFD0972" w14:textId="1ACD80F5" w:rsidR="00113EE1" w:rsidRDefault="00113EE1" w:rsidP="00113EE1">
      <w:pPr>
        <w:pStyle w:val="ListParagraph"/>
        <w:numPr>
          <w:ilvl w:val="0"/>
          <w:numId w:val="3"/>
        </w:numPr>
      </w:pPr>
      <w:r>
        <w:t>Preventable conditions (vaccination, STIs, screenings, hospitalizations)</w:t>
      </w:r>
    </w:p>
    <w:p w14:paraId="18AD5F90" w14:textId="272948C2" w:rsidR="00113EE1" w:rsidRDefault="00113EE1" w:rsidP="00113EE1">
      <w:pPr>
        <w:pStyle w:val="ListParagraph"/>
        <w:numPr>
          <w:ilvl w:val="0"/>
          <w:numId w:val="3"/>
        </w:numPr>
      </w:pPr>
      <w:r>
        <w:t>Mental/behavioral health (depression, suicide, overdoses, alcohol, youth substance use)</w:t>
      </w:r>
    </w:p>
    <w:p w14:paraId="5C30674E" w14:textId="220491C1" w:rsidR="00113EE1" w:rsidRDefault="00113EE1" w:rsidP="00113EE1">
      <w:pPr>
        <w:pStyle w:val="ListParagraph"/>
        <w:numPr>
          <w:ilvl w:val="0"/>
          <w:numId w:val="3"/>
        </w:numPr>
      </w:pPr>
      <w:r>
        <w:t>Mortality (what’s causing deaths in the Northland)</w:t>
      </w:r>
    </w:p>
    <w:p w14:paraId="1F94CB26" w14:textId="75AF7320" w:rsidR="00113EE1" w:rsidRDefault="00113EE1" w:rsidP="00113EE1">
      <w:r>
        <w:t>Over 80 graphs and data points are available to customize and download.</w:t>
      </w:r>
    </w:p>
    <w:p w14:paraId="4FE686C4" w14:textId="2DBEAB48" w:rsidR="001C2661" w:rsidRDefault="001C2661" w:rsidP="00113EE1">
      <w:r>
        <w:t xml:space="preserve">Want to help us get the word out about this resource? </w:t>
      </w:r>
      <w:hyperlink r:id="rId15" w:history="1">
        <w:r w:rsidRPr="001C2661">
          <w:rPr>
            <w:rStyle w:val="Hyperlink"/>
          </w:rPr>
          <w:t>Find a promotional toolkit here.</w:t>
        </w:r>
      </w:hyperlink>
    </w:p>
    <w:p w14:paraId="44AA8BE0" w14:textId="127B6DAE" w:rsidR="00700211" w:rsidRDefault="00700211" w:rsidP="00113EE1">
      <w:r>
        <w:t xml:space="preserve">[OR] </w:t>
      </w:r>
    </w:p>
    <w:p w14:paraId="7C547B2B" w14:textId="5A33840A" w:rsidR="00E541CD" w:rsidRDefault="0020755A" w:rsidP="00113EE1">
      <w:r>
        <w:t>Want a guided tour through the dashboard? Join its creators on Thursday, Sept. 11 at 11 a.m.</w:t>
      </w:r>
      <w:r w:rsidR="00DA0CA5">
        <w:t xml:space="preserve"> for a virtual tour. Register to get the link to join at </w:t>
      </w:r>
      <w:hyperlink r:id="rId16" w:history="1">
        <w:r w:rsidR="00DA0CA5" w:rsidRPr="00DA0CA5">
          <w:rPr>
            <w:rStyle w:val="Hyperlink"/>
          </w:rPr>
          <w:t>https://forms.gle/ANNK6isvx3nhStuP8</w:t>
        </w:r>
      </w:hyperlink>
      <w:r w:rsidR="00DA0CA5">
        <w:t>.</w:t>
      </w:r>
    </w:p>
    <w:p w14:paraId="7FACAD8D" w14:textId="77777777" w:rsidR="00381A48" w:rsidRDefault="00381A48" w:rsidP="00113EE1"/>
    <w:p w14:paraId="54DE3788" w14:textId="0493CBC8" w:rsidR="00381A48" w:rsidRPr="00F43252" w:rsidRDefault="00381A48" w:rsidP="00113EE1">
      <w:pPr>
        <w:rPr>
          <w:b/>
          <w:bCs/>
          <w:sz w:val="36"/>
          <w:szCs w:val="36"/>
        </w:rPr>
      </w:pPr>
      <w:r w:rsidRPr="00F43252">
        <w:rPr>
          <w:b/>
          <w:bCs/>
          <w:sz w:val="36"/>
          <w:szCs w:val="36"/>
        </w:rPr>
        <w:t>Social Media</w:t>
      </w:r>
    </w:p>
    <w:tbl>
      <w:tblPr>
        <w:tblStyle w:val="TableGrid"/>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217"/>
        <w:gridCol w:w="7537"/>
      </w:tblGrid>
      <w:tr w:rsidR="002E734A" w14:paraId="0F6D0F61" w14:textId="77777777" w:rsidTr="00E17549">
        <w:tc>
          <w:tcPr>
            <w:tcW w:w="3217" w:type="dxa"/>
          </w:tcPr>
          <w:p w14:paraId="32BE531C" w14:textId="1DC2B1FA" w:rsidR="00381A48" w:rsidRDefault="00E17549" w:rsidP="00113EE1">
            <w:pPr>
              <w:rPr>
                <w:b/>
                <w:bCs/>
                <w:noProof/>
              </w:rPr>
            </w:pPr>
            <w:r w:rsidRPr="00E17549">
              <w:rPr>
                <w:b/>
                <w:bCs/>
              </w:rPr>
              <w:t>General graphic</w:t>
            </w:r>
            <w:r w:rsidR="002E734A">
              <w:rPr>
                <w:b/>
                <w:bCs/>
              </w:rPr>
              <w:t>s</w:t>
            </w:r>
            <w:r w:rsidRPr="00E17549">
              <w:rPr>
                <w:b/>
                <w:bCs/>
                <w:noProof/>
              </w:rPr>
              <w:t xml:space="preserve"> </w:t>
            </w:r>
            <w:r w:rsidR="006F322C" w:rsidRPr="00E17549">
              <w:rPr>
                <w:b/>
                <w:bCs/>
                <w:noProof/>
              </w:rPr>
              <w:drawing>
                <wp:inline distT="0" distB="0" distL="0" distR="0" wp14:anchorId="483F8510" wp14:editId="1F9C9027">
                  <wp:extent cx="1543050" cy="1294102"/>
                  <wp:effectExtent l="19050" t="19050" r="19050" b="20955"/>
                  <wp:docPr id="7969288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50330" cy="1300208"/>
                          </a:xfrm>
                          <a:prstGeom prst="rect">
                            <a:avLst/>
                          </a:prstGeom>
                          <a:noFill/>
                          <a:ln>
                            <a:solidFill>
                              <a:schemeClr val="tx1"/>
                            </a:solidFill>
                          </a:ln>
                        </pic:spPr>
                      </pic:pic>
                    </a:graphicData>
                  </a:graphic>
                </wp:inline>
              </w:drawing>
            </w:r>
          </w:p>
          <w:p w14:paraId="4EC253DD" w14:textId="77777777" w:rsidR="002E734A" w:rsidRPr="00E17549" w:rsidRDefault="002E734A" w:rsidP="00113EE1">
            <w:pPr>
              <w:rPr>
                <w:b/>
                <w:bCs/>
              </w:rPr>
            </w:pPr>
          </w:p>
          <w:p w14:paraId="46686C5A" w14:textId="77777777" w:rsidR="002E734A" w:rsidRDefault="002E734A" w:rsidP="00113EE1">
            <w:r>
              <w:rPr>
                <w:noProof/>
              </w:rPr>
              <w:lastRenderedPageBreak/>
              <w:drawing>
                <wp:inline distT="0" distB="0" distL="0" distR="0" wp14:anchorId="59B5D926" wp14:editId="2E9584C0">
                  <wp:extent cx="1543050" cy="1294102"/>
                  <wp:effectExtent l="19050" t="19050" r="19050" b="20955"/>
                  <wp:docPr id="25943753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4098" cy="1303367"/>
                          </a:xfrm>
                          <a:prstGeom prst="rect">
                            <a:avLst/>
                          </a:prstGeom>
                          <a:noFill/>
                          <a:ln>
                            <a:solidFill>
                              <a:schemeClr val="tx1"/>
                            </a:solidFill>
                          </a:ln>
                        </pic:spPr>
                      </pic:pic>
                    </a:graphicData>
                  </a:graphic>
                </wp:inline>
              </w:drawing>
            </w:r>
          </w:p>
          <w:p w14:paraId="1537F463" w14:textId="514E5D91" w:rsidR="00C92934" w:rsidRDefault="002E734A" w:rsidP="00113EE1">
            <w:r>
              <w:rPr>
                <w:noProof/>
              </w:rPr>
              <w:drawing>
                <wp:inline distT="0" distB="0" distL="0" distR="0" wp14:anchorId="1BC0989F" wp14:editId="2CDCD2F3">
                  <wp:extent cx="1524000" cy="1278125"/>
                  <wp:effectExtent l="19050" t="19050" r="19050" b="17780"/>
                  <wp:docPr id="23765377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2883" cy="1285575"/>
                          </a:xfrm>
                          <a:prstGeom prst="rect">
                            <a:avLst/>
                          </a:prstGeom>
                          <a:noFill/>
                          <a:ln>
                            <a:solidFill>
                              <a:schemeClr val="tx1"/>
                            </a:solidFill>
                          </a:ln>
                        </pic:spPr>
                      </pic:pic>
                    </a:graphicData>
                  </a:graphic>
                </wp:inline>
              </w:drawing>
            </w:r>
          </w:p>
        </w:tc>
        <w:tc>
          <w:tcPr>
            <w:tcW w:w="7537" w:type="dxa"/>
          </w:tcPr>
          <w:p w14:paraId="2A5B8965" w14:textId="423E6248" w:rsidR="00C92934" w:rsidRDefault="00C92934" w:rsidP="00C92934">
            <w:r w:rsidRPr="00C10237">
              <w:lastRenderedPageBreak/>
              <w:t>We’re excited to announce th</w:t>
            </w:r>
            <w:r>
              <w:t xml:space="preserve">e newest version of </w:t>
            </w:r>
            <w:r w:rsidRPr="00C92934">
              <w:t>Northland</w:t>
            </w:r>
            <w:r w:rsidR="0099717F">
              <w:t xml:space="preserve"> </w:t>
            </w:r>
            <w:r w:rsidRPr="00C92934">
              <w:t>Healt</w:t>
            </w:r>
            <w:r w:rsidR="0099717F">
              <w:t xml:space="preserve">h </w:t>
            </w:r>
            <w:r w:rsidRPr="00C92934">
              <w:t>Alliance</w:t>
            </w:r>
            <w:r>
              <w:t xml:space="preserve">’s community health dashboard is now available! </w:t>
            </w:r>
            <w:r w:rsidR="00E17549" w:rsidRPr="00E17549">
              <w:rPr>
                <w:rFonts w:ascii="Segoe UI Emoji" w:hAnsi="Segoe UI Emoji" w:cs="Segoe UI Emoji"/>
              </w:rPr>
              <w:t>🎉</w:t>
            </w:r>
            <w:r w:rsidRPr="0099717F">
              <w:t>This online resource</w:t>
            </w:r>
            <w:r>
              <w:t xml:space="preserve"> can be an incredibly valuable tool for local leaders, difference makers, and anyone wanting to better understand health in Clay and Platte counties. Over 80 graphs and data points are available to view, interact with, and download.</w:t>
            </w:r>
          </w:p>
          <w:p w14:paraId="53879344" w14:textId="77777777" w:rsidR="00D8536B" w:rsidRDefault="00D8536B" w:rsidP="00D8536B"/>
          <w:p w14:paraId="2B07C60E" w14:textId="2A12109D" w:rsidR="00D8536B" w:rsidRDefault="00D8536B" w:rsidP="00D8536B">
            <w:r>
              <w:t xml:space="preserve">Check it out </w:t>
            </w:r>
            <w:r w:rsidR="00FE23D7" w:rsidRPr="00FE23D7">
              <w:rPr>
                <w:rFonts w:ascii="Segoe UI Emoji" w:hAnsi="Segoe UI Emoji" w:cs="Segoe UI Emoji"/>
              </w:rPr>
              <w:t>➡️</w:t>
            </w:r>
            <w:r w:rsidR="00FE23D7">
              <w:rPr>
                <w:rFonts w:ascii="Segoe UI Emoji" w:hAnsi="Segoe UI Emoji" w:cs="Segoe UI Emoji"/>
              </w:rPr>
              <w:t xml:space="preserve"> </w:t>
            </w:r>
            <w:r w:rsidRPr="0099717F">
              <w:t>northlandkchealthalliance.org/cha</w:t>
            </w:r>
            <w:r>
              <w:t xml:space="preserve"> </w:t>
            </w:r>
          </w:p>
          <w:p w14:paraId="59E3CF61" w14:textId="77777777" w:rsidR="00B46AAB" w:rsidRDefault="00B46AAB" w:rsidP="00C92934"/>
          <w:p w14:paraId="3E111923" w14:textId="1AD366D3" w:rsidR="00B46AAB" w:rsidRDefault="00B46AAB" w:rsidP="00C92934">
            <w:r>
              <w:t xml:space="preserve">The </w:t>
            </w:r>
            <w:r w:rsidR="00D8536B">
              <w:t xml:space="preserve">information collected helps NHA know what </w:t>
            </w:r>
            <w:proofErr w:type="gramStart"/>
            <w:r w:rsidR="00D8536B">
              <w:t>the Northland</w:t>
            </w:r>
            <w:proofErr w:type="gramEnd"/>
            <w:r w:rsidR="00D8536B">
              <w:t xml:space="preserve"> needs </w:t>
            </w:r>
            <w:r w:rsidR="00E17549">
              <w:t>most to be healthier</w:t>
            </w:r>
            <w:r w:rsidR="00D8536B">
              <w:t>. From 2026-2028, NHA’s task forces will focus on improving access to healthcare, access to healthy food, and access to mental/behavioral health resources.</w:t>
            </w:r>
          </w:p>
          <w:p w14:paraId="4B1020B9" w14:textId="14B2AE94" w:rsidR="00C92934" w:rsidRDefault="00C92934" w:rsidP="00C92934"/>
          <w:p w14:paraId="1EA73370" w14:textId="7828DD2E" w:rsidR="00381A48" w:rsidRDefault="00381A48" w:rsidP="00113EE1"/>
        </w:tc>
      </w:tr>
      <w:tr w:rsidR="002E734A" w14:paraId="7AFC2C78" w14:textId="77777777" w:rsidTr="004E2BAC">
        <w:trPr>
          <w:trHeight w:val="2643"/>
        </w:trPr>
        <w:tc>
          <w:tcPr>
            <w:tcW w:w="3217" w:type="dxa"/>
          </w:tcPr>
          <w:p w14:paraId="1AC2B196" w14:textId="01307C5B" w:rsidR="00381A48" w:rsidRDefault="00E17549" w:rsidP="00113EE1">
            <w:r w:rsidRPr="00E17549">
              <w:rPr>
                <w:b/>
                <w:bCs/>
              </w:rPr>
              <w:t>Webinar Invite</w:t>
            </w:r>
            <w:r>
              <w:rPr>
                <w:noProof/>
              </w:rPr>
              <w:t xml:space="preserve"> </w:t>
            </w:r>
          </w:p>
          <w:p w14:paraId="65F3BED9" w14:textId="3A617D38" w:rsidR="00C92934" w:rsidRDefault="0003333A" w:rsidP="00113EE1">
            <w:r>
              <w:rPr>
                <w:noProof/>
              </w:rPr>
              <w:drawing>
                <wp:inline distT="0" distB="0" distL="0" distR="0" wp14:anchorId="490D9D71" wp14:editId="14A2C3DD">
                  <wp:extent cx="1476375" cy="1238184"/>
                  <wp:effectExtent l="19050" t="19050" r="9525" b="19685"/>
                  <wp:docPr id="14164015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81864" cy="1242787"/>
                          </a:xfrm>
                          <a:prstGeom prst="rect">
                            <a:avLst/>
                          </a:prstGeom>
                          <a:noFill/>
                          <a:ln>
                            <a:solidFill>
                              <a:schemeClr val="tx1"/>
                            </a:solidFill>
                          </a:ln>
                        </pic:spPr>
                      </pic:pic>
                    </a:graphicData>
                  </a:graphic>
                </wp:inline>
              </w:drawing>
            </w:r>
          </w:p>
        </w:tc>
        <w:tc>
          <w:tcPr>
            <w:tcW w:w="7537" w:type="dxa"/>
          </w:tcPr>
          <w:p w14:paraId="54FF4CC5" w14:textId="3B068B0D" w:rsidR="00381A48" w:rsidRDefault="00E92EF5" w:rsidP="00113EE1">
            <w:r>
              <w:t xml:space="preserve">Join the creators of the </w:t>
            </w:r>
            <w:r w:rsidR="009F2C5C">
              <w:t xml:space="preserve">new Northland community health dashboard </w:t>
            </w:r>
            <w:r w:rsidR="00492E60">
              <w:t xml:space="preserve">on Thursday, Sept. 11 at 11 a.m. for a detailed walkthrough of this valuable resource. </w:t>
            </w:r>
            <w:r w:rsidR="00FA2347">
              <w:t xml:space="preserve">This session will be helpful for local leaders </w:t>
            </w:r>
            <w:r w:rsidR="00947FA5">
              <w:t xml:space="preserve">who use data to serve their </w:t>
            </w:r>
            <w:r w:rsidR="00DC2BC0">
              <w:t>communities,</w:t>
            </w:r>
            <w:r w:rsidR="00947FA5">
              <w:t xml:space="preserve"> but all are welcome!</w:t>
            </w:r>
          </w:p>
          <w:p w14:paraId="32B5ED96" w14:textId="77777777" w:rsidR="00186386" w:rsidRDefault="00186386" w:rsidP="00113EE1"/>
          <w:p w14:paraId="52ED7707" w14:textId="529CDDA9" w:rsidR="00186386" w:rsidRDefault="00FF472B" w:rsidP="00113EE1">
            <w:r>
              <w:t>Register now</w:t>
            </w:r>
            <w:r w:rsidR="00DD50ED">
              <w:t xml:space="preserve"> to get the link to join</w:t>
            </w:r>
            <w:r>
              <w:t xml:space="preserve">: </w:t>
            </w:r>
            <w:r w:rsidRPr="00FF472B">
              <w:t>https://forms.gle/ANNK6isvx3nhStuP8</w:t>
            </w:r>
          </w:p>
        </w:tc>
      </w:tr>
      <w:tr w:rsidR="002E734A" w14:paraId="3B189044" w14:textId="77777777" w:rsidTr="00E17549">
        <w:tc>
          <w:tcPr>
            <w:tcW w:w="3217" w:type="dxa"/>
          </w:tcPr>
          <w:p w14:paraId="3D58E4EF" w14:textId="34D92D62" w:rsidR="00F86FFB" w:rsidRPr="00F86FFB" w:rsidRDefault="00F86FFB" w:rsidP="00113EE1">
            <w:pPr>
              <w:rPr>
                <w:b/>
                <w:bCs/>
              </w:rPr>
            </w:pPr>
            <w:r w:rsidRPr="00F86FFB">
              <w:rPr>
                <w:b/>
                <w:bCs/>
              </w:rPr>
              <w:t>Interactive CHA</w:t>
            </w:r>
          </w:p>
          <w:p w14:paraId="4835B0B3" w14:textId="143E83F4" w:rsidR="00F43252" w:rsidRDefault="00271F19" w:rsidP="00113EE1">
            <w:r>
              <w:rPr>
                <w:noProof/>
              </w:rPr>
              <w:drawing>
                <wp:inline distT="0" distB="0" distL="0" distR="0" wp14:anchorId="6B1028E8" wp14:editId="02BD3841">
                  <wp:extent cx="1533525" cy="1286113"/>
                  <wp:effectExtent l="19050" t="19050" r="9525" b="28575"/>
                  <wp:docPr id="19048071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41075" cy="1292445"/>
                          </a:xfrm>
                          <a:prstGeom prst="rect">
                            <a:avLst/>
                          </a:prstGeom>
                          <a:noFill/>
                          <a:ln>
                            <a:solidFill>
                              <a:schemeClr val="tx1"/>
                            </a:solidFill>
                          </a:ln>
                        </pic:spPr>
                      </pic:pic>
                    </a:graphicData>
                  </a:graphic>
                </wp:inline>
              </w:drawing>
            </w:r>
          </w:p>
          <w:p w14:paraId="3742EB22" w14:textId="09B7157E" w:rsidR="00381A48" w:rsidRDefault="00381A48" w:rsidP="00113EE1"/>
        </w:tc>
        <w:tc>
          <w:tcPr>
            <w:tcW w:w="7537" w:type="dxa"/>
          </w:tcPr>
          <w:p w14:paraId="5E6DBDC4" w14:textId="77777777" w:rsidR="004749CA" w:rsidRDefault="00271F19" w:rsidP="00113EE1">
            <w:r>
              <w:t xml:space="preserve">Long, boring PDF no more! Northland Health Alliance’s latest </w:t>
            </w:r>
            <w:r w:rsidR="00DF468F">
              <w:t xml:space="preserve">Community Health Assessment (CHA) is now available as an online, interactive dashboard. </w:t>
            </w:r>
          </w:p>
          <w:p w14:paraId="6D816425" w14:textId="77777777" w:rsidR="004749CA" w:rsidRDefault="004749CA" w:rsidP="00113EE1"/>
          <w:p w14:paraId="1D4354CA" w14:textId="3315FC6B" w:rsidR="00381A48" w:rsidRDefault="008D103F" w:rsidP="00113EE1">
            <w:r>
              <w:t>Go to</w:t>
            </w:r>
            <w:r w:rsidR="006E2F8B">
              <w:t xml:space="preserve"> </w:t>
            </w:r>
            <w:r w:rsidR="006E2F8B" w:rsidRPr="0099717F">
              <w:t>northlandkchealthalliance.org/cha</w:t>
            </w:r>
            <w:r w:rsidR="006E2F8B">
              <w:t xml:space="preserve"> to f</w:t>
            </w:r>
            <w:r w:rsidR="007E2E0E">
              <w:t xml:space="preserve">ind local health data </w:t>
            </w:r>
            <w:r w:rsidR="006E2F8B">
              <w:t xml:space="preserve">+ learn how/why NHA decided to focus on improving access to health food, healthcare, and mental health </w:t>
            </w:r>
            <w:r w:rsidR="00F86FFB">
              <w:t>for the next 3 years.</w:t>
            </w:r>
          </w:p>
        </w:tc>
      </w:tr>
      <w:tr w:rsidR="002E734A" w14:paraId="2EBCB06A" w14:textId="77777777" w:rsidTr="004E2BAC">
        <w:trPr>
          <w:trHeight w:val="2985"/>
        </w:trPr>
        <w:tc>
          <w:tcPr>
            <w:tcW w:w="3217" w:type="dxa"/>
          </w:tcPr>
          <w:p w14:paraId="38635419" w14:textId="4DA33C27" w:rsidR="00381A48" w:rsidRDefault="004E2BAC" w:rsidP="00113EE1">
            <w:r w:rsidRPr="004E2BAC">
              <w:rPr>
                <w:b/>
                <w:bCs/>
              </w:rPr>
              <w:t>Improved Navigation</w:t>
            </w:r>
            <w:r w:rsidR="00135EA0">
              <w:rPr>
                <w:noProof/>
              </w:rPr>
              <w:drawing>
                <wp:inline distT="0" distB="0" distL="0" distR="0" wp14:anchorId="594AAD23" wp14:editId="15A70CF1">
                  <wp:extent cx="1466850" cy="1230195"/>
                  <wp:effectExtent l="19050" t="19050" r="19050" b="27305"/>
                  <wp:docPr id="17861850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70992" cy="1233669"/>
                          </a:xfrm>
                          <a:prstGeom prst="rect">
                            <a:avLst/>
                          </a:prstGeom>
                          <a:noFill/>
                          <a:ln>
                            <a:solidFill>
                              <a:schemeClr val="tx1"/>
                            </a:solidFill>
                          </a:ln>
                        </pic:spPr>
                      </pic:pic>
                    </a:graphicData>
                  </a:graphic>
                </wp:inline>
              </w:drawing>
            </w:r>
          </w:p>
        </w:tc>
        <w:tc>
          <w:tcPr>
            <w:tcW w:w="7537" w:type="dxa"/>
          </w:tcPr>
          <w:p w14:paraId="341A2DA5" w14:textId="77777777" w:rsidR="00381A48" w:rsidRDefault="00135EA0" w:rsidP="00113EE1">
            <w:r>
              <w:t xml:space="preserve">It's easier than ever to find the health data you’re looking for! In </w:t>
            </w:r>
            <w:r w:rsidR="008A16FC">
              <w:t xml:space="preserve">the Northland Health Alliance’s latest community health dashboard, you can now </w:t>
            </w:r>
            <w:r w:rsidR="00AA2436">
              <w:t xml:space="preserve">navigate straight to the topic you’re interested in through the Table of Contents tab or sections labeled Data in </w:t>
            </w:r>
            <w:r w:rsidR="003D499D">
              <w:t>this Section.</w:t>
            </w:r>
          </w:p>
          <w:p w14:paraId="562DD715" w14:textId="77777777" w:rsidR="003D499D" w:rsidRDefault="003D499D" w:rsidP="00113EE1"/>
          <w:p w14:paraId="559E234A" w14:textId="01B9E141" w:rsidR="003D499D" w:rsidRDefault="003D499D" w:rsidP="00113EE1">
            <w:r>
              <w:t xml:space="preserve">Whether you’re looking for stats regarding chronic disease, transportation, </w:t>
            </w:r>
            <w:r w:rsidR="00EF6E33">
              <w:t xml:space="preserve">overdoses, or maternal health, </w:t>
            </w:r>
            <w:r w:rsidR="001C665B">
              <w:t xml:space="preserve">these links will help you out. </w:t>
            </w:r>
            <w:r w:rsidR="001C665B" w:rsidRPr="001C665B">
              <w:t>https://dashboards.mysidewalk.com/northland-health-alliance-area-community-health-assessment-1edecc1de771/table-of-contents</w:t>
            </w:r>
          </w:p>
        </w:tc>
      </w:tr>
      <w:tr w:rsidR="002E734A" w14:paraId="0AF461BD" w14:textId="77777777" w:rsidTr="00D445A8">
        <w:trPr>
          <w:trHeight w:val="2967"/>
        </w:trPr>
        <w:tc>
          <w:tcPr>
            <w:tcW w:w="3217" w:type="dxa"/>
          </w:tcPr>
          <w:p w14:paraId="44ADE12A" w14:textId="4BBBF5BD" w:rsidR="00D445A8" w:rsidRPr="00D445A8" w:rsidRDefault="00D445A8" w:rsidP="00113EE1">
            <w:pPr>
              <w:rPr>
                <w:b/>
                <w:bCs/>
              </w:rPr>
            </w:pPr>
            <w:r w:rsidRPr="00D445A8">
              <w:rPr>
                <w:b/>
                <w:bCs/>
              </w:rPr>
              <w:lastRenderedPageBreak/>
              <w:t>CHA Creation Timeline</w:t>
            </w:r>
          </w:p>
          <w:p w14:paraId="17C8A6E1" w14:textId="130BA233" w:rsidR="00381A48" w:rsidRDefault="00463F22" w:rsidP="00113EE1">
            <w:r>
              <w:rPr>
                <w:noProof/>
              </w:rPr>
              <w:drawing>
                <wp:inline distT="0" distB="0" distL="0" distR="0" wp14:anchorId="0FF14AEF" wp14:editId="1BE4DC41">
                  <wp:extent cx="1514475" cy="1270137"/>
                  <wp:effectExtent l="19050" t="19050" r="9525" b="25400"/>
                  <wp:docPr id="14395342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22289" cy="1276691"/>
                          </a:xfrm>
                          <a:prstGeom prst="rect">
                            <a:avLst/>
                          </a:prstGeom>
                          <a:noFill/>
                          <a:ln>
                            <a:solidFill>
                              <a:schemeClr val="tx1"/>
                            </a:solidFill>
                          </a:ln>
                        </pic:spPr>
                      </pic:pic>
                    </a:graphicData>
                  </a:graphic>
                </wp:inline>
              </w:drawing>
            </w:r>
          </w:p>
        </w:tc>
        <w:tc>
          <w:tcPr>
            <w:tcW w:w="7537" w:type="dxa"/>
          </w:tcPr>
          <w:p w14:paraId="603FB75F" w14:textId="3BD34828" w:rsidR="00381A48" w:rsidRDefault="00A74147" w:rsidP="00113EE1">
            <w:r>
              <w:t>A community health assessment</w:t>
            </w:r>
            <w:r w:rsidR="008C5E7F">
              <w:t xml:space="preserve"> (CHA)</w:t>
            </w:r>
            <w:r>
              <w:t xml:space="preserve">, updated every 3-5 years, is </w:t>
            </w:r>
            <w:r w:rsidR="008F7834">
              <w:t>necessary</w:t>
            </w:r>
            <w:r>
              <w:t xml:space="preserve"> for </w:t>
            </w:r>
            <w:r w:rsidR="009E56D7">
              <w:t xml:space="preserve">healthcare organizations to understand the greatest needs in their areas. By knowing the greatest needs, </w:t>
            </w:r>
            <w:r w:rsidR="00143547">
              <w:t>they</w:t>
            </w:r>
            <w:r w:rsidR="009E56D7">
              <w:t xml:space="preserve"> ca</w:t>
            </w:r>
            <w:r w:rsidR="00D97E94">
              <w:t xml:space="preserve">n </w:t>
            </w:r>
            <w:r w:rsidR="00E5084C">
              <w:t xml:space="preserve">create a </w:t>
            </w:r>
            <w:r w:rsidR="0039635B">
              <w:t xml:space="preserve">CHIP, or community health improvement plan, and </w:t>
            </w:r>
            <w:r w:rsidR="00D97E94">
              <w:t xml:space="preserve">work together to tackle </w:t>
            </w:r>
            <w:r w:rsidR="0039635B">
              <w:t>the</w:t>
            </w:r>
            <w:r w:rsidR="002F0014">
              <w:t xml:space="preserve"> biggest barriers to living health</w:t>
            </w:r>
            <w:r w:rsidR="00143547">
              <w:t>y lives</w:t>
            </w:r>
            <w:r w:rsidR="0039635B">
              <w:t>.</w:t>
            </w:r>
          </w:p>
          <w:p w14:paraId="1E9BF844" w14:textId="77777777" w:rsidR="002F0014" w:rsidRDefault="002F0014" w:rsidP="00113EE1"/>
          <w:p w14:paraId="32E90CF5" w14:textId="77777777" w:rsidR="00D21321" w:rsidRDefault="008C5E7F" w:rsidP="00344A71">
            <w:r>
              <w:t>The Northland Health Alliance started work on the latest CHA</w:t>
            </w:r>
            <w:r w:rsidR="00AD4726">
              <w:t xml:space="preserve"> &amp; </w:t>
            </w:r>
            <w:r w:rsidR="00344A71">
              <w:t>CHIP in</w:t>
            </w:r>
            <w:r>
              <w:t xml:space="preserve"> March </w:t>
            </w:r>
            <w:r w:rsidR="00AD4726">
              <w:t>o</w:t>
            </w:r>
            <w:r>
              <w:t xml:space="preserve">f 2024. </w:t>
            </w:r>
            <w:r w:rsidR="00AD4726">
              <w:t>Since</w:t>
            </w:r>
            <w:r w:rsidR="00F5410F">
              <w:t xml:space="preserve"> then, NHA and its members like us connected with partners and community members, </w:t>
            </w:r>
            <w:r w:rsidR="00AD4726">
              <w:t xml:space="preserve">identified </w:t>
            </w:r>
            <w:r w:rsidR="00D21321">
              <w:t xml:space="preserve">issues, and </w:t>
            </w:r>
            <w:r w:rsidR="00344A71">
              <w:t xml:space="preserve">set goals. </w:t>
            </w:r>
            <w:r w:rsidR="00D21321">
              <w:t xml:space="preserve">Now, we’re ready to </w:t>
            </w:r>
            <w:proofErr w:type="gramStart"/>
            <w:r w:rsidR="00D21321">
              <w:t>take action</w:t>
            </w:r>
            <w:proofErr w:type="gramEnd"/>
            <w:r w:rsidR="00D21321">
              <w:t>!</w:t>
            </w:r>
          </w:p>
          <w:p w14:paraId="50512411" w14:textId="77777777" w:rsidR="00945E3A" w:rsidRDefault="00945E3A" w:rsidP="00344A71"/>
          <w:p w14:paraId="07B6CD73" w14:textId="3CFD48CD" w:rsidR="00945E3A" w:rsidRDefault="00945E3A" w:rsidP="00344A71">
            <w:r>
              <w:t xml:space="preserve">Read more about what we learned and what’s next in the CHA dashboard: </w:t>
            </w:r>
            <w:r w:rsidRPr="0099717F">
              <w:t>northlandkchealthalliance.org/cha</w:t>
            </w:r>
          </w:p>
        </w:tc>
      </w:tr>
      <w:tr w:rsidR="002E734A" w14:paraId="5909CB3A" w14:textId="77777777" w:rsidTr="004749CA">
        <w:trPr>
          <w:trHeight w:val="5433"/>
        </w:trPr>
        <w:tc>
          <w:tcPr>
            <w:tcW w:w="3217" w:type="dxa"/>
          </w:tcPr>
          <w:p w14:paraId="59A9CE1F" w14:textId="77777777" w:rsidR="004749CA" w:rsidRDefault="004749CA" w:rsidP="00113EE1">
            <w:pPr>
              <w:rPr>
                <w:b/>
                <w:bCs/>
              </w:rPr>
            </w:pPr>
            <w:r w:rsidRPr="004749CA">
              <w:rPr>
                <w:b/>
                <w:bCs/>
              </w:rPr>
              <w:t>Thanks for Your Feedba</w:t>
            </w:r>
            <w:r>
              <w:rPr>
                <w:b/>
                <w:bCs/>
              </w:rPr>
              <w:t>ck</w:t>
            </w:r>
          </w:p>
          <w:p w14:paraId="2D9ADD17" w14:textId="6DB1D0F2" w:rsidR="00381A48" w:rsidRDefault="004749CA" w:rsidP="00113EE1">
            <w:pPr>
              <w:rPr>
                <w:b/>
                <w:bCs/>
              </w:rPr>
            </w:pPr>
            <w:r>
              <w:rPr>
                <w:b/>
                <w:bCs/>
                <w:noProof/>
              </w:rPr>
              <w:drawing>
                <wp:inline distT="0" distB="0" distL="0" distR="0" wp14:anchorId="7DF5B33D" wp14:editId="002A070D">
                  <wp:extent cx="1590675" cy="1334043"/>
                  <wp:effectExtent l="19050" t="19050" r="9525" b="19050"/>
                  <wp:docPr id="95100650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99946" cy="1341818"/>
                          </a:xfrm>
                          <a:prstGeom prst="rect">
                            <a:avLst/>
                          </a:prstGeom>
                          <a:noFill/>
                          <a:ln>
                            <a:solidFill>
                              <a:schemeClr val="tx1"/>
                            </a:solidFill>
                          </a:ln>
                        </pic:spPr>
                      </pic:pic>
                    </a:graphicData>
                  </a:graphic>
                </wp:inline>
              </w:drawing>
            </w:r>
          </w:p>
          <w:p w14:paraId="313D1CF2" w14:textId="77777777" w:rsidR="004749CA" w:rsidRPr="004749CA" w:rsidRDefault="004749CA" w:rsidP="00113EE1">
            <w:pPr>
              <w:rPr>
                <w:b/>
                <w:bCs/>
              </w:rPr>
            </w:pPr>
          </w:p>
          <w:p w14:paraId="5C564289" w14:textId="4110920F" w:rsidR="004749CA" w:rsidRDefault="004749CA" w:rsidP="00113EE1">
            <w:r>
              <w:rPr>
                <w:noProof/>
              </w:rPr>
              <w:drawing>
                <wp:inline distT="0" distB="0" distL="0" distR="0" wp14:anchorId="21D5F883" wp14:editId="62555EFD">
                  <wp:extent cx="1619250" cy="1358008"/>
                  <wp:effectExtent l="19050" t="19050" r="19050" b="13970"/>
                  <wp:docPr id="6751425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22188" cy="1360472"/>
                          </a:xfrm>
                          <a:prstGeom prst="rect">
                            <a:avLst/>
                          </a:prstGeom>
                          <a:noFill/>
                          <a:ln>
                            <a:solidFill>
                              <a:schemeClr val="tx1"/>
                            </a:solidFill>
                          </a:ln>
                        </pic:spPr>
                      </pic:pic>
                    </a:graphicData>
                  </a:graphic>
                </wp:inline>
              </w:drawing>
            </w:r>
          </w:p>
        </w:tc>
        <w:tc>
          <w:tcPr>
            <w:tcW w:w="7537" w:type="dxa"/>
          </w:tcPr>
          <w:p w14:paraId="7ACC43EC" w14:textId="77777777" w:rsidR="00381A48" w:rsidRPr="00B55905" w:rsidRDefault="00F249AF" w:rsidP="00113EE1">
            <w:pPr>
              <w:rPr>
                <w:rFonts w:ascii="Aptos" w:hAnsi="Aptos" w:cs="Segoe UI Emoji"/>
              </w:rPr>
            </w:pPr>
            <w:r w:rsidRPr="00B55905">
              <w:rPr>
                <w:rFonts w:ascii="Aptos" w:hAnsi="Aptos"/>
              </w:rPr>
              <w:t xml:space="preserve">Thank you! </w:t>
            </w:r>
            <w:r w:rsidR="007B09E3" w:rsidRPr="00B55905">
              <w:rPr>
                <w:rFonts w:ascii="Segoe UI Emoji" w:hAnsi="Segoe UI Emoji" w:cs="Segoe UI Emoji"/>
              </w:rPr>
              <w:t>👏</w:t>
            </w:r>
            <w:r w:rsidR="007B09E3" w:rsidRPr="00B55905">
              <w:rPr>
                <w:rFonts w:ascii="Aptos" w:hAnsi="Aptos" w:cs="Segoe UI Emoji"/>
              </w:rPr>
              <w:t xml:space="preserve"> If you filled out the Northland Health Alliance survey or participated in a community forum in 2024, you </w:t>
            </w:r>
            <w:r w:rsidR="00655E3A" w:rsidRPr="00B55905">
              <w:rPr>
                <w:rFonts w:ascii="Aptos" w:hAnsi="Aptos" w:cs="Segoe UI Emoji"/>
              </w:rPr>
              <w:t>helped guide your local health organizations’ goals for the next few</w:t>
            </w:r>
            <w:r w:rsidR="005F453B" w:rsidRPr="00B55905">
              <w:rPr>
                <w:rFonts w:ascii="Aptos" w:hAnsi="Aptos" w:cs="Segoe UI Emoji"/>
              </w:rPr>
              <w:t xml:space="preserve"> years.</w:t>
            </w:r>
          </w:p>
          <w:p w14:paraId="5ACD7686" w14:textId="77777777" w:rsidR="005F453B" w:rsidRPr="00B55905" w:rsidRDefault="005F453B" w:rsidP="00113EE1">
            <w:pPr>
              <w:rPr>
                <w:rFonts w:ascii="Aptos" w:hAnsi="Aptos"/>
              </w:rPr>
            </w:pPr>
          </w:p>
          <w:p w14:paraId="057A9EC1" w14:textId="77777777" w:rsidR="005F453B" w:rsidRDefault="005F453B" w:rsidP="00113EE1">
            <w:pPr>
              <w:rPr>
                <w:rFonts w:ascii="Aptos" w:hAnsi="Aptos"/>
              </w:rPr>
            </w:pPr>
            <w:r w:rsidRPr="00B55905">
              <w:rPr>
                <w:rFonts w:ascii="Aptos" w:hAnsi="Aptos"/>
              </w:rPr>
              <w:t xml:space="preserve">By sharing your perspective, local hospitals, health departments, mental health providers, non-profits </w:t>
            </w:r>
            <w:r w:rsidR="00B55905">
              <w:rPr>
                <w:rFonts w:ascii="Aptos" w:hAnsi="Aptos"/>
              </w:rPr>
              <w:t xml:space="preserve">got to hear </w:t>
            </w:r>
            <w:r w:rsidR="00000895">
              <w:rPr>
                <w:rFonts w:ascii="Aptos" w:hAnsi="Aptos"/>
              </w:rPr>
              <w:t>what real people in the Northland are struggling with when it comes to being healthy.</w:t>
            </w:r>
          </w:p>
          <w:p w14:paraId="5A38E103" w14:textId="77777777" w:rsidR="00000895" w:rsidRDefault="00000895" w:rsidP="00113EE1"/>
          <w:p w14:paraId="6F4400C7" w14:textId="001586DC" w:rsidR="007472F6" w:rsidRDefault="00000895" w:rsidP="007472F6">
            <w:r>
              <w:t>Community feedback + data combined to form a community health assessment</w:t>
            </w:r>
            <w:r w:rsidR="007472F6">
              <w:t xml:space="preserve"> (</w:t>
            </w:r>
            <w:r w:rsidR="007472F6" w:rsidRPr="0099717F">
              <w:t>northlandkchealthalliance.org/cha</w:t>
            </w:r>
            <w:r w:rsidR="007472F6">
              <w:t>). This assessment helped create a plan. From 2026-2028, the Northland Health Alliance will work to improve access to healthy food, healthcare and mental/behavioral health in the area.</w:t>
            </w:r>
          </w:p>
          <w:p w14:paraId="7443686B" w14:textId="1EDEBD38" w:rsidR="00000895" w:rsidRDefault="00000895" w:rsidP="00113EE1"/>
        </w:tc>
      </w:tr>
      <w:tr w:rsidR="002E734A" w14:paraId="4037C202" w14:textId="77777777" w:rsidTr="00413F6E">
        <w:trPr>
          <w:trHeight w:val="3543"/>
        </w:trPr>
        <w:tc>
          <w:tcPr>
            <w:tcW w:w="3217" w:type="dxa"/>
          </w:tcPr>
          <w:p w14:paraId="044AD7EF" w14:textId="2C2EA9EB" w:rsidR="00B408B5" w:rsidRDefault="00B408B5" w:rsidP="00113EE1">
            <w:pPr>
              <w:rPr>
                <w:b/>
                <w:bCs/>
              </w:rPr>
            </w:pPr>
            <w:r>
              <w:rPr>
                <w:b/>
                <w:bCs/>
              </w:rPr>
              <w:t>Data Highlight</w:t>
            </w:r>
          </w:p>
          <w:p w14:paraId="6F54FF58" w14:textId="322D05F8" w:rsidR="000B4B96" w:rsidRPr="004749CA" w:rsidRDefault="00B408B5" w:rsidP="00113EE1">
            <w:pPr>
              <w:rPr>
                <w:b/>
                <w:bCs/>
              </w:rPr>
            </w:pPr>
            <w:r>
              <w:rPr>
                <w:b/>
                <w:bCs/>
                <w:noProof/>
              </w:rPr>
              <w:drawing>
                <wp:inline distT="0" distB="0" distL="0" distR="0" wp14:anchorId="547BB81B" wp14:editId="1120FA9E">
                  <wp:extent cx="838200" cy="702969"/>
                  <wp:effectExtent l="19050" t="19050" r="19050" b="20955"/>
                  <wp:docPr id="6193519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44347" cy="708124"/>
                          </a:xfrm>
                          <a:prstGeom prst="rect">
                            <a:avLst/>
                          </a:prstGeom>
                          <a:noFill/>
                          <a:ln>
                            <a:solidFill>
                              <a:schemeClr val="tx1"/>
                            </a:solidFill>
                          </a:ln>
                        </pic:spPr>
                      </pic:pic>
                    </a:graphicData>
                  </a:graphic>
                </wp:inline>
              </w:drawing>
            </w:r>
            <w:r>
              <w:rPr>
                <w:b/>
                <w:bCs/>
                <w:noProof/>
              </w:rPr>
              <w:drawing>
                <wp:inline distT="0" distB="0" distL="0" distR="0" wp14:anchorId="774D1037" wp14:editId="017C1AE9">
                  <wp:extent cx="847725" cy="710957"/>
                  <wp:effectExtent l="19050" t="19050" r="9525" b="13335"/>
                  <wp:docPr id="190287282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72936" cy="732101"/>
                          </a:xfrm>
                          <a:prstGeom prst="rect">
                            <a:avLst/>
                          </a:prstGeom>
                          <a:noFill/>
                          <a:ln>
                            <a:solidFill>
                              <a:schemeClr val="tx1"/>
                            </a:solidFill>
                          </a:ln>
                        </pic:spPr>
                      </pic:pic>
                    </a:graphicData>
                  </a:graphic>
                </wp:inline>
              </w:drawing>
            </w:r>
            <w:r>
              <w:rPr>
                <w:b/>
                <w:bCs/>
                <w:noProof/>
              </w:rPr>
              <w:drawing>
                <wp:inline distT="0" distB="0" distL="0" distR="0" wp14:anchorId="2AFB2AEE" wp14:editId="536C6C1B">
                  <wp:extent cx="1351524" cy="1133475"/>
                  <wp:effectExtent l="19050" t="19050" r="20320" b="9525"/>
                  <wp:docPr id="17371030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71744" cy="1150433"/>
                          </a:xfrm>
                          <a:prstGeom prst="rect">
                            <a:avLst/>
                          </a:prstGeom>
                          <a:noFill/>
                          <a:ln>
                            <a:solidFill>
                              <a:schemeClr val="tx1"/>
                            </a:solidFill>
                          </a:ln>
                        </pic:spPr>
                      </pic:pic>
                    </a:graphicData>
                  </a:graphic>
                </wp:inline>
              </w:drawing>
            </w:r>
          </w:p>
        </w:tc>
        <w:tc>
          <w:tcPr>
            <w:tcW w:w="7537" w:type="dxa"/>
          </w:tcPr>
          <w:p w14:paraId="2AE342B3" w14:textId="7CAD7012" w:rsidR="000B4B96" w:rsidRDefault="00B408B5" w:rsidP="00113EE1">
            <w:pPr>
              <w:rPr>
                <w:rFonts w:ascii="Aptos" w:hAnsi="Aptos"/>
                <w:i/>
                <w:iCs/>
              </w:rPr>
            </w:pPr>
            <w:r w:rsidRPr="00D263B8">
              <w:rPr>
                <w:rFonts w:ascii="Aptos" w:hAnsi="Aptos"/>
                <w:i/>
                <w:iCs/>
              </w:rPr>
              <w:t>[</w:t>
            </w:r>
            <w:r w:rsidR="00D263B8" w:rsidRPr="00D263B8">
              <w:rPr>
                <w:rFonts w:ascii="Aptos" w:hAnsi="Aptos"/>
                <w:i/>
                <w:iCs/>
              </w:rPr>
              <w:t xml:space="preserve">Use </w:t>
            </w:r>
            <w:hyperlink r:id="rId29" w:history="1">
              <w:r w:rsidR="00D263B8" w:rsidRPr="00CE1C9B">
                <w:rPr>
                  <w:rStyle w:val="Hyperlink"/>
                  <w:rFonts w:ascii="Aptos" w:hAnsi="Aptos"/>
                  <w:i/>
                  <w:iCs/>
                </w:rPr>
                <w:t>th</w:t>
              </w:r>
              <w:r w:rsidR="00CE1C9B" w:rsidRPr="00CE1C9B">
                <w:rPr>
                  <w:rStyle w:val="Hyperlink"/>
                  <w:rFonts w:ascii="Aptos" w:hAnsi="Aptos"/>
                  <w:i/>
                  <w:iCs/>
                </w:rPr>
                <w:t>is</w:t>
              </w:r>
              <w:r w:rsidR="00EF64D4" w:rsidRPr="00CE1C9B">
                <w:rPr>
                  <w:rStyle w:val="Hyperlink"/>
                  <w:rFonts w:ascii="Aptos" w:hAnsi="Aptos"/>
                  <w:i/>
                  <w:iCs/>
                </w:rPr>
                <w:t xml:space="preserve"> Canva</w:t>
              </w:r>
              <w:r w:rsidR="00D263B8" w:rsidRPr="00CE1C9B">
                <w:rPr>
                  <w:rStyle w:val="Hyperlink"/>
                  <w:rFonts w:ascii="Aptos" w:hAnsi="Aptos"/>
                  <w:i/>
                  <w:iCs/>
                </w:rPr>
                <w:t xml:space="preserve"> template</w:t>
              </w:r>
            </w:hyperlink>
            <w:r w:rsidR="00D263B8" w:rsidRPr="00D263B8">
              <w:rPr>
                <w:rFonts w:ascii="Aptos" w:hAnsi="Aptos"/>
                <w:i/>
                <w:iCs/>
              </w:rPr>
              <w:t xml:space="preserve"> to highlight a certain data point. </w:t>
            </w:r>
            <w:r w:rsidR="00CE1C9B">
              <w:rPr>
                <w:rFonts w:ascii="Aptos" w:hAnsi="Aptos"/>
                <w:i/>
                <w:iCs/>
              </w:rPr>
              <w:t xml:space="preserve">Download and customize graphs from the CHA dashboard - </w:t>
            </w:r>
            <w:r w:rsidR="00CE1C9B" w:rsidRPr="00CE1C9B">
              <w:rPr>
                <w:i/>
                <w:iCs/>
              </w:rPr>
              <w:t>northlandkchealthalliance.org/cha</w:t>
            </w:r>
            <w:r w:rsidR="00CE1C9B">
              <w:t>)</w:t>
            </w:r>
          </w:p>
          <w:p w14:paraId="359B57CF" w14:textId="77777777" w:rsidR="00CE1C9B" w:rsidRDefault="00CE1C9B" w:rsidP="00113EE1">
            <w:pPr>
              <w:rPr>
                <w:rFonts w:ascii="Aptos" w:hAnsi="Aptos"/>
                <w:i/>
                <w:iCs/>
              </w:rPr>
            </w:pPr>
          </w:p>
          <w:p w14:paraId="2D7B5599" w14:textId="77777777" w:rsidR="00CE1C9B" w:rsidRDefault="00CE1C9B" w:rsidP="00113EE1">
            <w:pPr>
              <w:rPr>
                <w:rFonts w:ascii="Aptos" w:hAnsi="Aptos"/>
                <w:i/>
                <w:iCs/>
              </w:rPr>
            </w:pPr>
          </w:p>
          <w:p w14:paraId="0CEF73D8" w14:textId="77777777" w:rsidR="00EF64D4" w:rsidRDefault="00EF64D4" w:rsidP="00113EE1">
            <w:pPr>
              <w:rPr>
                <w:rFonts w:ascii="Aptos" w:hAnsi="Aptos"/>
                <w:i/>
                <w:iCs/>
              </w:rPr>
            </w:pPr>
          </w:p>
          <w:p w14:paraId="2AD4C935" w14:textId="13C91C6B" w:rsidR="00EF64D4" w:rsidRPr="00D263B8" w:rsidRDefault="00EF64D4" w:rsidP="00113EE1">
            <w:pPr>
              <w:rPr>
                <w:rFonts w:ascii="Aptos" w:hAnsi="Aptos"/>
                <w:i/>
                <w:iCs/>
              </w:rPr>
            </w:pPr>
          </w:p>
        </w:tc>
      </w:tr>
    </w:tbl>
    <w:p w14:paraId="7879CF3A" w14:textId="77777777" w:rsidR="00381A48" w:rsidRPr="00C10237" w:rsidRDefault="00381A48" w:rsidP="00113EE1"/>
    <w:sectPr w:rsidR="00381A48" w:rsidRPr="00C10237" w:rsidSect="00B90680">
      <w:headerReference w:type="even" r:id="rId30"/>
      <w:headerReference w:type="default" r:id="rId31"/>
      <w:footerReference w:type="even" r:id="rId32"/>
      <w:footerReference w:type="default" r:id="rId33"/>
      <w:headerReference w:type="first" r:id="rId34"/>
      <w:footerReference w:type="first" r:id="rId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1E24D" w14:textId="77777777" w:rsidR="00B85BC8" w:rsidRDefault="00B85BC8" w:rsidP="00285C19">
      <w:pPr>
        <w:spacing w:after="0" w:line="240" w:lineRule="auto"/>
      </w:pPr>
      <w:r>
        <w:separator/>
      </w:r>
    </w:p>
  </w:endnote>
  <w:endnote w:type="continuationSeparator" w:id="0">
    <w:p w14:paraId="2C253FD8" w14:textId="77777777" w:rsidR="00B85BC8" w:rsidRDefault="00B85BC8" w:rsidP="00285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C2ED" w14:textId="77777777" w:rsidR="00285C19" w:rsidRDefault="00285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646F" w14:textId="77777777" w:rsidR="00285C19" w:rsidRDefault="00285C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F0A8" w14:textId="77777777" w:rsidR="00285C19" w:rsidRDefault="00285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0EA24" w14:textId="77777777" w:rsidR="00B85BC8" w:rsidRDefault="00B85BC8" w:rsidP="00285C19">
      <w:pPr>
        <w:spacing w:after="0" w:line="240" w:lineRule="auto"/>
      </w:pPr>
      <w:r>
        <w:separator/>
      </w:r>
    </w:p>
  </w:footnote>
  <w:footnote w:type="continuationSeparator" w:id="0">
    <w:p w14:paraId="0415BE3D" w14:textId="77777777" w:rsidR="00B85BC8" w:rsidRDefault="00B85BC8" w:rsidP="00285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5EF9" w14:textId="77777777" w:rsidR="00285C19" w:rsidRDefault="00285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75F7" w14:textId="2DBAE6DD" w:rsidR="00285C19" w:rsidRDefault="00285C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F46F" w14:textId="77777777" w:rsidR="00285C19" w:rsidRDefault="00285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64DA6"/>
    <w:multiLevelType w:val="hybridMultilevel"/>
    <w:tmpl w:val="4D0E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C34A08"/>
    <w:multiLevelType w:val="hybridMultilevel"/>
    <w:tmpl w:val="8FAC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973E12"/>
    <w:multiLevelType w:val="hybridMultilevel"/>
    <w:tmpl w:val="D87C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5712116">
    <w:abstractNumId w:val="2"/>
  </w:num>
  <w:num w:numId="2" w16cid:durableId="1833449941">
    <w:abstractNumId w:val="1"/>
  </w:num>
  <w:num w:numId="3" w16cid:durableId="806826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680"/>
    <w:rsid w:val="00000895"/>
    <w:rsid w:val="0003333A"/>
    <w:rsid w:val="000B2F15"/>
    <w:rsid w:val="000B4B96"/>
    <w:rsid w:val="00113EE1"/>
    <w:rsid w:val="001166AF"/>
    <w:rsid w:val="00135EA0"/>
    <w:rsid w:val="00143547"/>
    <w:rsid w:val="00186386"/>
    <w:rsid w:val="00190FB5"/>
    <w:rsid w:val="00191068"/>
    <w:rsid w:val="001C2661"/>
    <w:rsid w:val="001C665B"/>
    <w:rsid w:val="0020755A"/>
    <w:rsid w:val="00271F19"/>
    <w:rsid w:val="00275C51"/>
    <w:rsid w:val="00285C19"/>
    <w:rsid w:val="002B53CC"/>
    <w:rsid w:val="002E734A"/>
    <w:rsid w:val="002F0014"/>
    <w:rsid w:val="00344A71"/>
    <w:rsid w:val="00381A48"/>
    <w:rsid w:val="0039635B"/>
    <w:rsid w:val="003C54D3"/>
    <w:rsid w:val="003D499D"/>
    <w:rsid w:val="00413F6E"/>
    <w:rsid w:val="00452E18"/>
    <w:rsid w:val="00463F22"/>
    <w:rsid w:val="004749CA"/>
    <w:rsid w:val="00492E60"/>
    <w:rsid w:val="004E2BAC"/>
    <w:rsid w:val="0050575C"/>
    <w:rsid w:val="00520545"/>
    <w:rsid w:val="00555941"/>
    <w:rsid w:val="005F453B"/>
    <w:rsid w:val="0063626E"/>
    <w:rsid w:val="00655E3A"/>
    <w:rsid w:val="006D1ED2"/>
    <w:rsid w:val="006E2F8B"/>
    <w:rsid w:val="006F322C"/>
    <w:rsid w:val="00700211"/>
    <w:rsid w:val="007472F6"/>
    <w:rsid w:val="007B09E3"/>
    <w:rsid w:val="007E2E0E"/>
    <w:rsid w:val="008A040E"/>
    <w:rsid w:val="008A16FC"/>
    <w:rsid w:val="008C5E7F"/>
    <w:rsid w:val="008D103F"/>
    <w:rsid w:val="008F7834"/>
    <w:rsid w:val="00945E3A"/>
    <w:rsid w:val="00947FA5"/>
    <w:rsid w:val="0099717F"/>
    <w:rsid w:val="009E56D7"/>
    <w:rsid w:val="009F2C5C"/>
    <w:rsid w:val="00A74147"/>
    <w:rsid w:val="00AA2436"/>
    <w:rsid w:val="00AD4726"/>
    <w:rsid w:val="00B408B5"/>
    <w:rsid w:val="00B45580"/>
    <w:rsid w:val="00B46AAB"/>
    <w:rsid w:val="00B55905"/>
    <w:rsid w:val="00B85BC8"/>
    <w:rsid w:val="00B90680"/>
    <w:rsid w:val="00BF1165"/>
    <w:rsid w:val="00C10237"/>
    <w:rsid w:val="00C92934"/>
    <w:rsid w:val="00C94AFF"/>
    <w:rsid w:val="00CE1C9B"/>
    <w:rsid w:val="00D21321"/>
    <w:rsid w:val="00D24680"/>
    <w:rsid w:val="00D263B8"/>
    <w:rsid w:val="00D445A8"/>
    <w:rsid w:val="00D8536B"/>
    <w:rsid w:val="00D97E94"/>
    <w:rsid w:val="00DA0CA5"/>
    <w:rsid w:val="00DC2BC0"/>
    <w:rsid w:val="00DD50ED"/>
    <w:rsid w:val="00DF468F"/>
    <w:rsid w:val="00E17549"/>
    <w:rsid w:val="00E20941"/>
    <w:rsid w:val="00E5084C"/>
    <w:rsid w:val="00E541CD"/>
    <w:rsid w:val="00E92EF5"/>
    <w:rsid w:val="00EA75B7"/>
    <w:rsid w:val="00EC29DD"/>
    <w:rsid w:val="00EF64D4"/>
    <w:rsid w:val="00EF6E33"/>
    <w:rsid w:val="00F249AF"/>
    <w:rsid w:val="00F305EA"/>
    <w:rsid w:val="00F43252"/>
    <w:rsid w:val="00F5410F"/>
    <w:rsid w:val="00F86FFB"/>
    <w:rsid w:val="00FA2347"/>
    <w:rsid w:val="00FE23D7"/>
    <w:rsid w:val="00FF4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84AB"/>
  <w15:chartTrackingRefBased/>
  <w15:docId w15:val="{7C29E326-01EB-4EB9-9E3F-A236A2D09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0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0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0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0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0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0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680"/>
    <w:rPr>
      <w:rFonts w:eastAsiaTheme="majorEastAsia" w:cstheme="majorBidi"/>
      <w:color w:val="272727" w:themeColor="text1" w:themeTint="D8"/>
    </w:rPr>
  </w:style>
  <w:style w:type="paragraph" w:styleId="Title">
    <w:name w:val="Title"/>
    <w:basedOn w:val="Normal"/>
    <w:next w:val="Normal"/>
    <w:link w:val="TitleChar"/>
    <w:uiPriority w:val="10"/>
    <w:qFormat/>
    <w:rsid w:val="00B90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680"/>
    <w:pPr>
      <w:spacing w:before="160"/>
      <w:jc w:val="center"/>
    </w:pPr>
    <w:rPr>
      <w:i/>
      <w:iCs/>
      <w:color w:val="404040" w:themeColor="text1" w:themeTint="BF"/>
    </w:rPr>
  </w:style>
  <w:style w:type="character" w:customStyle="1" w:styleId="QuoteChar">
    <w:name w:val="Quote Char"/>
    <w:basedOn w:val="DefaultParagraphFont"/>
    <w:link w:val="Quote"/>
    <w:uiPriority w:val="29"/>
    <w:rsid w:val="00B90680"/>
    <w:rPr>
      <w:i/>
      <w:iCs/>
      <w:color w:val="404040" w:themeColor="text1" w:themeTint="BF"/>
    </w:rPr>
  </w:style>
  <w:style w:type="paragraph" w:styleId="ListParagraph">
    <w:name w:val="List Paragraph"/>
    <w:basedOn w:val="Normal"/>
    <w:uiPriority w:val="34"/>
    <w:qFormat/>
    <w:rsid w:val="00B90680"/>
    <w:pPr>
      <w:ind w:left="720"/>
      <w:contextualSpacing/>
    </w:pPr>
  </w:style>
  <w:style w:type="character" w:styleId="IntenseEmphasis">
    <w:name w:val="Intense Emphasis"/>
    <w:basedOn w:val="DefaultParagraphFont"/>
    <w:uiPriority w:val="21"/>
    <w:qFormat/>
    <w:rsid w:val="00B90680"/>
    <w:rPr>
      <w:i/>
      <w:iCs/>
      <w:color w:val="0F4761" w:themeColor="accent1" w:themeShade="BF"/>
    </w:rPr>
  </w:style>
  <w:style w:type="paragraph" w:styleId="IntenseQuote">
    <w:name w:val="Intense Quote"/>
    <w:basedOn w:val="Normal"/>
    <w:next w:val="Normal"/>
    <w:link w:val="IntenseQuoteChar"/>
    <w:uiPriority w:val="30"/>
    <w:qFormat/>
    <w:rsid w:val="00B90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0680"/>
    <w:rPr>
      <w:i/>
      <w:iCs/>
      <w:color w:val="0F4761" w:themeColor="accent1" w:themeShade="BF"/>
    </w:rPr>
  </w:style>
  <w:style w:type="character" w:styleId="IntenseReference">
    <w:name w:val="Intense Reference"/>
    <w:basedOn w:val="DefaultParagraphFont"/>
    <w:uiPriority w:val="32"/>
    <w:qFormat/>
    <w:rsid w:val="00B90680"/>
    <w:rPr>
      <w:b/>
      <w:bCs/>
      <w:smallCaps/>
      <w:color w:val="0F4761" w:themeColor="accent1" w:themeShade="BF"/>
      <w:spacing w:val="5"/>
    </w:rPr>
  </w:style>
  <w:style w:type="character" w:styleId="Hyperlink">
    <w:name w:val="Hyperlink"/>
    <w:basedOn w:val="DefaultParagraphFont"/>
    <w:uiPriority w:val="99"/>
    <w:unhideWhenUsed/>
    <w:rsid w:val="00B90680"/>
    <w:rPr>
      <w:color w:val="467886" w:themeColor="hyperlink"/>
      <w:u w:val="single"/>
    </w:rPr>
  </w:style>
  <w:style w:type="character" w:styleId="UnresolvedMention">
    <w:name w:val="Unresolved Mention"/>
    <w:basedOn w:val="DefaultParagraphFont"/>
    <w:uiPriority w:val="99"/>
    <w:semiHidden/>
    <w:unhideWhenUsed/>
    <w:rsid w:val="00B90680"/>
    <w:rPr>
      <w:color w:val="605E5C"/>
      <w:shd w:val="clear" w:color="auto" w:fill="E1DFDD"/>
    </w:rPr>
  </w:style>
  <w:style w:type="table" w:styleId="TableGrid">
    <w:name w:val="Table Grid"/>
    <w:basedOn w:val="TableNormal"/>
    <w:uiPriority w:val="39"/>
    <w:rsid w:val="00381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5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C19"/>
  </w:style>
  <w:style w:type="paragraph" w:styleId="Footer">
    <w:name w:val="footer"/>
    <w:basedOn w:val="Normal"/>
    <w:link w:val="FooterChar"/>
    <w:uiPriority w:val="99"/>
    <w:unhideWhenUsed/>
    <w:rsid w:val="00285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hlandkchealthalliance.org/promotional-materials/" TargetMode="External"/><Relationship Id="rId13" Type="http://schemas.openxmlformats.org/officeDocument/2006/relationships/hyperlink" Target="https://northlandkchealthalliance.org/" TargetMode="External"/><Relationship Id="rId18" Type="http://schemas.openxmlformats.org/officeDocument/2006/relationships/image" Target="media/image3.jpeg"/><Relationship Id="rId26"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image" Target="media/image6.jpeg"/><Relationship Id="rId34"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hyperlink" Target="https://dashboards.mysidewalk.com/northland-health-alliance-area-community-health-assessment-1edecc1de771" TargetMode="External"/><Relationship Id="rId17" Type="http://schemas.openxmlformats.org/officeDocument/2006/relationships/image" Target="media/image2.jpeg"/><Relationship Id="rId25" Type="http://schemas.openxmlformats.org/officeDocument/2006/relationships/image" Target="media/image10.jpe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forms.gle/ANNK6isvx3nhStuP8" TargetMode="External"/><Relationship Id="rId20" Type="http://schemas.openxmlformats.org/officeDocument/2006/relationships/image" Target="media/image5.jpeg"/><Relationship Id="rId29" Type="http://schemas.openxmlformats.org/officeDocument/2006/relationships/hyperlink" Target="https://www.canva.com/design/DAGwpKPk37I/W63xDeKGv2dOTvr0CtL2MQ/view?utm_content=DAGwpKPk37I&amp;utm_campaign=designshare&amp;utm_medium=link&amp;utm_source=publishsharelink&amp;mode=previe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thlandkchealthalliance.org/" TargetMode="External"/><Relationship Id="rId24" Type="http://schemas.openxmlformats.org/officeDocument/2006/relationships/image" Target="media/image9.jpe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orthlandkchealthalliance.org/promotional-materials/" TargetMode="External"/><Relationship Id="rId23" Type="http://schemas.openxmlformats.org/officeDocument/2006/relationships/image" Target="media/image8.jpeg"/><Relationship Id="rId28" Type="http://schemas.openxmlformats.org/officeDocument/2006/relationships/image" Target="media/image13.jpeg"/><Relationship Id="rId36" Type="http://schemas.openxmlformats.org/officeDocument/2006/relationships/fontTable" Target="fontTable.xml"/><Relationship Id="rId10" Type="http://schemas.openxmlformats.org/officeDocument/2006/relationships/hyperlink" Target="https://dashboards.mysidewalk.com/northland-health-alliance-area-community-health-assessment-1edecc1de771" TargetMode="External"/><Relationship Id="rId19" Type="http://schemas.openxmlformats.org/officeDocument/2006/relationships/image" Target="media/image4.jpe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northlandkchealthalliance.org/" TargetMode="External"/><Relationship Id="rId14" Type="http://schemas.openxmlformats.org/officeDocument/2006/relationships/hyperlink" Target="https://dashboards.mysidewalk.com/northland-health-alliance-area-community-health-assessment-1edecc1de771" TargetMode="Externa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Neth</dc:creator>
  <cp:keywords/>
  <dc:description/>
  <cp:lastModifiedBy>Kelsey Neth</cp:lastModifiedBy>
  <cp:revision>85</cp:revision>
  <dcterms:created xsi:type="dcterms:W3CDTF">2025-08-20T18:13:00Z</dcterms:created>
  <dcterms:modified xsi:type="dcterms:W3CDTF">2025-08-21T21:24:00Z</dcterms:modified>
</cp:coreProperties>
</file>